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E5782">
      <w:pPr>
        <w:adjustRightInd w:val="0"/>
        <w:snapToGrid w:val="0"/>
        <w:spacing w:line="360" w:lineRule="auto"/>
        <w:jc w:val="center"/>
        <w:rPr>
          <w:rFonts w:hint="eastAsia" w:ascii="宋体" w:hAnsi="宋体" w:cs="宋体"/>
          <w:b/>
          <w:bCs/>
          <w:sz w:val="32"/>
          <w:szCs w:val="32"/>
        </w:rPr>
      </w:pPr>
      <w:r>
        <w:rPr>
          <w:rFonts w:hint="eastAsia" w:ascii="宋体" w:hAnsi="宋体" w:cs="宋体"/>
          <w:b/>
          <w:bCs/>
          <w:sz w:val="32"/>
          <w:szCs w:val="32"/>
        </w:rPr>
        <w:t>项目需求</w:t>
      </w:r>
    </w:p>
    <w:p w14:paraId="71C7D58B">
      <w:pPr>
        <w:autoSpaceDE w:val="0"/>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一、采购内容</w:t>
      </w:r>
    </w:p>
    <w:p w14:paraId="3CFEFA8C">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遴选</w:t>
      </w:r>
      <w:r>
        <w:rPr>
          <w:rFonts w:hint="eastAsia" w:ascii="宋体" w:hAnsi="宋体" w:cs="宋体"/>
          <w:sz w:val="24"/>
          <w:highlight w:val="none"/>
        </w:rPr>
        <w:t>5家招标代理机构，主要负责本院货物、服务及工程类项目的专业咨询及招标代理服务工作，服务期限3年。</w:t>
      </w:r>
    </w:p>
    <w:p w14:paraId="61DE0C73">
      <w:pPr>
        <w:autoSpaceDE w:val="0"/>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二、投标人</w:t>
      </w:r>
      <w:r>
        <w:rPr>
          <w:rFonts w:hint="eastAsia" w:ascii="宋体" w:hAnsi="宋体" w:cs="宋体"/>
          <w:b/>
          <w:sz w:val="24"/>
          <w:lang w:eastAsia="zh-CN"/>
        </w:rPr>
        <w:t>资质</w:t>
      </w:r>
      <w:r>
        <w:rPr>
          <w:rFonts w:hint="eastAsia" w:ascii="宋体" w:hAnsi="宋体" w:cs="宋体"/>
          <w:b/>
          <w:sz w:val="24"/>
        </w:rPr>
        <w:t>要求</w:t>
      </w:r>
    </w:p>
    <w:p w14:paraId="6D9BE484">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1.投标人须是中华人民共和国境内注册的独立法人，企业营业执照经营范围应当包括招标代理相关业务，提供有效证书扫描件加盖本单位公章。</w:t>
      </w:r>
    </w:p>
    <w:p w14:paraId="60C571CF">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2.提供在天津市政府采购网上的备案证明文件或网页截图并加盖公章。</w:t>
      </w:r>
    </w:p>
    <w:p w14:paraId="5E40B2B5">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3.投标人有依法缴纳税收和社会保障资金的良好记录。提供</w:t>
      </w:r>
      <w:r>
        <w:rPr>
          <w:rFonts w:hint="eastAsia" w:ascii="宋体" w:hAnsi="宋体" w:cs="宋体"/>
          <w:sz w:val="24"/>
          <w:highlight w:val="none"/>
        </w:rPr>
        <w:t>2025年度</w:t>
      </w:r>
      <w:r>
        <w:rPr>
          <w:rFonts w:hint="eastAsia" w:ascii="宋体" w:hAnsi="宋体" w:cs="宋体"/>
          <w:sz w:val="24"/>
        </w:rPr>
        <w:t>至少1个月的依法缴纳税收和社会保险费的相关证明材料扫描件。</w:t>
      </w:r>
    </w:p>
    <w:p w14:paraId="11FCE155">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4.财务状况报告等相关材料：</w:t>
      </w:r>
    </w:p>
    <w:p w14:paraId="1657CE79">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（1）经第三方会计师事务所审计的</w:t>
      </w:r>
      <w:r>
        <w:rPr>
          <w:rFonts w:hint="eastAsia" w:ascii="宋体" w:hAnsi="宋体" w:cs="宋体"/>
          <w:sz w:val="24"/>
          <w:highlight w:val="none"/>
        </w:rPr>
        <w:t>2024年度</w:t>
      </w:r>
      <w:r>
        <w:rPr>
          <w:rFonts w:hint="eastAsia" w:ascii="宋体" w:hAnsi="宋体" w:cs="宋体"/>
          <w:sz w:val="24"/>
        </w:rPr>
        <w:t>财务报告扫描件。</w:t>
      </w:r>
    </w:p>
    <w:p w14:paraId="20E5BFFF">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（2）提交响应文件截止时间前6个月以内银行出具的资信证明复印件并加盖公章。</w:t>
      </w:r>
    </w:p>
    <w:p w14:paraId="6C007885">
      <w:pPr>
        <w:autoSpaceDE w:val="0"/>
        <w:autoSpaceDN w:val="0"/>
        <w:adjustRightInd w:val="0"/>
        <w:snapToGrid w:val="0"/>
        <w:spacing w:line="360" w:lineRule="auto"/>
        <w:ind w:firstLine="600" w:firstLineChars="250"/>
        <w:rPr>
          <w:rFonts w:hint="eastAsia" w:ascii="宋体" w:hAnsi="宋体" w:cs="宋体"/>
          <w:sz w:val="24"/>
        </w:rPr>
      </w:pPr>
      <w:r>
        <w:rPr>
          <w:rFonts w:hint="eastAsia" w:ascii="宋体" w:hAnsi="宋体" w:cs="宋体"/>
          <w:sz w:val="24"/>
        </w:rPr>
        <w:t>注：以上两项提供任意一项均可。</w:t>
      </w:r>
    </w:p>
    <w:p w14:paraId="33E0BF4D">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投标人须提供参加招标活动前3年内在经营活动中无重大违法记录的书面声明以及3年内未受到财政局等相关部门处罚决定的书面声明（截至提交响应文件截止日成立不足3年的投标人可提供自成立以来无重大违法记录的书面声明以及3年内未受到财政局等相关部门处罚决定的书面声明）。</w:t>
      </w:r>
    </w:p>
    <w:p w14:paraId="7FDDAC33">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6.本项目不接受联合体报名，须提供《非联合体</w:t>
      </w:r>
      <w:r>
        <w:rPr>
          <w:rFonts w:hint="eastAsia" w:ascii="宋体" w:hAnsi="宋体" w:cs="宋体"/>
          <w:sz w:val="24"/>
          <w:lang w:val="en-US" w:eastAsia="zh-CN"/>
        </w:rPr>
        <w:t>投标</w:t>
      </w:r>
      <w:r>
        <w:rPr>
          <w:rFonts w:hint="eastAsia" w:ascii="宋体" w:hAnsi="宋体" w:cs="宋体"/>
          <w:sz w:val="24"/>
        </w:rPr>
        <w:t>声明函》并加盖公章。</w:t>
      </w:r>
    </w:p>
    <w:p w14:paraId="7EC239CB">
      <w:pPr>
        <w:autoSpaceDE w:val="0"/>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三、服务内容</w:t>
      </w:r>
    </w:p>
    <w:p w14:paraId="450CC9E3">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依法组织对项目的采购工作。包括但不限于策划和制订招标方案、协助办理相关手续，包括编制招标文件，制作、发布采购信息公告及更正公告，接收投标人报名，组织潜在投标人踏勘现场和答疑、发澄清文件；组织开标，组建评标委员会、协助评标委员会完成评标与评标报告、办理中标候选人公示；协助定标、发出中标通知书并办理中标结果公告、协助签订中标合同等系列招标工作。</w:t>
      </w:r>
    </w:p>
    <w:p w14:paraId="00485638">
      <w:pPr>
        <w:autoSpaceDE w:val="0"/>
        <w:autoSpaceDN w:val="0"/>
        <w:adjustRightInd w:val="0"/>
        <w:snapToGrid w:val="0"/>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.协助医院组织专家对项目进行论证工作。</w:t>
      </w:r>
    </w:p>
    <w:p w14:paraId="7E5B4D97">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3.协助我院对政府采购项目进行重点审查。</w:t>
      </w:r>
    </w:p>
    <w:p w14:paraId="75822073">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4.协助医院向政府采购监督管理部门办理有关招标投标情况报告。</w:t>
      </w:r>
    </w:p>
    <w:p w14:paraId="30381022">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5.处理投标人和其他利害关系人提出的质疑，配合监督管理部门处理投诉等。</w:t>
      </w:r>
    </w:p>
    <w:p w14:paraId="277EA198">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6.医院委托的其他招投标相关咨询服务工作。</w:t>
      </w:r>
    </w:p>
    <w:p w14:paraId="1FD591D3">
      <w:pPr>
        <w:autoSpaceDE w:val="0"/>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四、服务要求</w:t>
      </w:r>
    </w:p>
    <w:p w14:paraId="21522ADB">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1.投标人提供的招标代理服务内容和方案，必须符合国家和天津市政府采购的相关法律、法规、政策和规范性文件的要求。</w:t>
      </w:r>
    </w:p>
    <w:p w14:paraId="1E1139C7">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2.医院有权对报名的招标代理公司进行实地考察复核。本着诚实信用原则，潜在投标人的报名资料必须真实可靠，医院若发现投标资料有虚假，经核实后直接取消报名资格，不得参与本项目投标。</w:t>
      </w:r>
    </w:p>
    <w:p w14:paraId="296D007F">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投标人应本着“依法依规、诚实守信、严谨负责、密切协作、快速高效”的职业态度，严格按照采购法规制度，协助和参与采购活动，配合医院对采购过程、采购结果的真实性、合规性负责，确保委托项目采购经得起纪检、巡视、审计监督检查，实现效益和经济效益双赢。</w:t>
      </w:r>
    </w:p>
    <w:p w14:paraId="7AE6B2AB">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4.办公场地环境整洁，配备录音录像等监控设施设备及配套专用存储设备，符合政府采购要求。</w:t>
      </w:r>
    </w:p>
    <w:p w14:paraId="5A71F052">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5.拟派的项目负责人必须做到依照医院的时间、要求展开工作，并保证在医院有需求的情况下能及时到达指定地点，并承诺服务期间项目负责人不能随意变更。</w:t>
      </w:r>
    </w:p>
    <w:p w14:paraId="659073B3">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招标文件费、中标服务费由招标代理机构按照不超过国家标准和合同约定向中标供应商收取，招标代理机构不得再额外收取其他费用。编制招标文件、组织踏勘现场、招投标文件整理和送递等服务费均应包含在中标服务费中。</w:t>
      </w:r>
    </w:p>
    <w:p w14:paraId="28D492D2">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7.如发现存在违规采购、延误工作等影响招标项目预期目的的，医院有权解除合同，并由招标代理机构承担违约责任及相关损失。</w:t>
      </w:r>
    </w:p>
    <w:p w14:paraId="4FE231BF">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8.招标代理公司对采购过程中涉及的商业秘密负有保密义务，不得将可能影响采购工作公正性的信息透露给利害关系人。</w:t>
      </w:r>
    </w:p>
    <w:p w14:paraId="0D7153F2">
      <w:pPr>
        <w:adjustRightInd w:val="0"/>
        <w:snapToGrid w:val="0"/>
        <w:spacing w:line="360" w:lineRule="auto"/>
        <w:ind w:firstLine="482"/>
        <w:jc w:val="left"/>
        <w:rPr>
          <w:rFonts w:hint="eastAsia" w:ascii="宋体" w:hAnsi="宋体"/>
          <w:b/>
          <w:sz w:val="24"/>
          <w:highlight w:val="none"/>
        </w:rPr>
      </w:pPr>
      <w:r>
        <w:rPr>
          <w:rFonts w:hint="eastAsia" w:ascii="宋体" w:hAnsi="宋体"/>
          <w:b/>
          <w:sz w:val="24"/>
          <w:highlight w:val="none"/>
        </w:rPr>
        <w:t>五、商务报价要求：</w:t>
      </w:r>
    </w:p>
    <w:p w14:paraId="57DA7F92">
      <w:pPr>
        <w:adjustRightInd w:val="0"/>
        <w:snapToGrid w:val="0"/>
        <w:spacing w:line="360" w:lineRule="auto"/>
        <w:ind w:firstLine="482"/>
        <w:jc w:val="left"/>
        <w:rPr>
          <w:rFonts w:hint="eastAsia" w:ascii="宋体" w:hAnsi="宋体"/>
          <w:bCs/>
          <w:sz w:val="24"/>
          <w:highlight w:val="none"/>
        </w:rPr>
      </w:pPr>
      <w:r>
        <w:rPr>
          <w:rFonts w:hint="eastAsia" w:ascii="宋体" w:hAnsi="宋体"/>
          <w:b/>
          <w:sz w:val="24"/>
          <w:highlight w:val="none"/>
        </w:rPr>
        <w:t>1.投标折扣率：</w:t>
      </w:r>
      <w:r>
        <w:rPr>
          <w:rFonts w:hint="eastAsia" w:ascii="宋体" w:hAnsi="宋体"/>
          <w:bCs/>
          <w:sz w:val="24"/>
          <w:highlight w:val="none"/>
        </w:rPr>
        <w:t>根据</w:t>
      </w:r>
      <w:r>
        <w:rPr>
          <w:rFonts w:ascii="宋体" w:hAnsi="宋体"/>
          <w:bCs/>
          <w:sz w:val="24"/>
          <w:highlight w:val="none"/>
        </w:rPr>
        <w:t>计价格[2002]1980号</w:t>
      </w:r>
      <w:r>
        <w:rPr>
          <w:rFonts w:hint="eastAsia" w:ascii="宋体" w:hAnsi="宋体"/>
          <w:bCs/>
          <w:sz w:val="24"/>
          <w:highlight w:val="none"/>
        </w:rPr>
        <w:t>、</w:t>
      </w:r>
      <w:r>
        <w:rPr>
          <w:rFonts w:ascii="宋体" w:hAnsi="宋体"/>
          <w:bCs/>
          <w:sz w:val="24"/>
          <w:highlight w:val="none"/>
        </w:rPr>
        <w:t>发改价格[2011]534号</w:t>
      </w:r>
      <w:r>
        <w:rPr>
          <w:rFonts w:hint="eastAsia" w:ascii="宋体" w:hAnsi="宋体"/>
          <w:bCs/>
          <w:sz w:val="24"/>
          <w:highlight w:val="none"/>
        </w:rPr>
        <w:t>文件，各投标单位遵循市场行情结合自身情况自主报价（折扣率，最多保留两位小数）；</w:t>
      </w:r>
    </w:p>
    <w:p w14:paraId="25C54FAF">
      <w:pPr>
        <w:adjustRightInd w:val="0"/>
        <w:snapToGrid w:val="0"/>
        <w:spacing w:line="360" w:lineRule="auto"/>
        <w:ind w:firstLine="482"/>
        <w:jc w:val="left"/>
        <w:rPr>
          <w:rFonts w:hint="eastAsia" w:ascii="宋体" w:hAnsi="宋体"/>
          <w:bCs/>
          <w:sz w:val="24"/>
          <w:highlight w:val="none"/>
        </w:rPr>
      </w:pPr>
      <w:r>
        <w:rPr>
          <w:rFonts w:hint="eastAsia" w:ascii="宋体" w:hAnsi="宋体"/>
          <w:bCs/>
          <w:sz w:val="24"/>
          <w:highlight w:val="none"/>
        </w:rPr>
        <w:t>投标“折扣率”，是指参照现行的收费文件计算标准收费并进行优惠下浮后确定的最终收费折扣率，例如：按照标准收费计算后优惠下浮30%，则投标折扣率为70%</w:t>
      </w:r>
    </w:p>
    <w:p w14:paraId="2E08A0C0">
      <w:pPr>
        <w:adjustRightInd w:val="0"/>
        <w:snapToGrid w:val="0"/>
        <w:spacing w:line="360" w:lineRule="auto"/>
        <w:ind w:firstLine="482"/>
        <w:jc w:val="left"/>
        <w:rPr>
          <w:rFonts w:hint="eastAsia" w:ascii="宋体" w:hAnsi="宋体"/>
          <w:bCs/>
          <w:sz w:val="24"/>
          <w:highlight w:val="none"/>
        </w:rPr>
      </w:pPr>
      <w:r>
        <w:rPr>
          <w:rFonts w:hint="eastAsia" w:ascii="宋体" w:hAnsi="宋体"/>
          <w:b/>
          <w:sz w:val="24"/>
          <w:highlight w:val="none"/>
        </w:rPr>
        <w:t>2.成交折扣率：</w:t>
      </w:r>
      <w:r>
        <w:rPr>
          <w:rFonts w:hint="eastAsia" w:ascii="宋体" w:hAnsi="宋体"/>
          <w:bCs/>
          <w:sz w:val="24"/>
          <w:highlight w:val="none"/>
        </w:rPr>
        <w:t>按照最终入围的5家投标单位的折扣率平均值计算成交折扣率，入围单位统一执行。</w:t>
      </w:r>
    </w:p>
    <w:p w14:paraId="71D0B5CB">
      <w:pPr>
        <w:adjustRightInd w:val="0"/>
        <w:snapToGrid w:val="0"/>
        <w:spacing w:line="360" w:lineRule="auto"/>
        <w:ind w:firstLine="482"/>
        <w:jc w:val="center"/>
        <w:rPr>
          <w:rFonts w:hint="eastAsia" w:ascii="宋体" w:hAnsi="宋体"/>
          <w:b/>
          <w:sz w:val="24"/>
        </w:rPr>
      </w:pPr>
    </w:p>
    <w:p w14:paraId="26FA42BE">
      <w:pPr>
        <w:adjustRightInd w:val="0"/>
        <w:snapToGrid w:val="0"/>
        <w:spacing w:line="360" w:lineRule="auto"/>
        <w:ind w:firstLine="482"/>
        <w:jc w:val="center"/>
        <w:rPr>
          <w:rFonts w:hint="eastAsia" w:ascii="宋体" w:hAnsi="宋体"/>
          <w:b/>
          <w:sz w:val="24"/>
        </w:rPr>
      </w:pPr>
    </w:p>
    <w:p w14:paraId="1D3ECF88">
      <w:pPr>
        <w:adjustRightInd w:val="0"/>
        <w:snapToGrid w:val="0"/>
        <w:spacing w:line="360" w:lineRule="auto"/>
        <w:ind w:firstLine="482"/>
        <w:jc w:val="center"/>
        <w:rPr>
          <w:rFonts w:hint="eastAsia" w:ascii="宋体" w:hAnsi="宋体"/>
          <w:b/>
          <w:sz w:val="24"/>
        </w:rPr>
      </w:pPr>
    </w:p>
    <w:p w14:paraId="16F74D0F">
      <w:pPr>
        <w:pStyle w:val="5"/>
        <w:rPr>
          <w:rFonts w:hint="eastAsia"/>
        </w:rPr>
      </w:pPr>
      <w:r>
        <w:rPr>
          <w:rFonts w:hint="eastAsia"/>
        </w:rPr>
        <w:t>评分表</w:t>
      </w:r>
    </w:p>
    <w:tbl>
      <w:tblPr>
        <w:tblStyle w:val="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22"/>
        <w:gridCol w:w="6946"/>
      </w:tblGrid>
      <w:tr w14:paraId="051B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51" w:type="dxa"/>
            <w:vAlign w:val="center"/>
          </w:tcPr>
          <w:p w14:paraId="2853EA94">
            <w:pPr>
              <w:jc w:val="center"/>
              <w:rPr>
                <w:b/>
                <w:bCs/>
                <w:sz w:val="24"/>
              </w:rPr>
            </w:pPr>
            <w:r>
              <w:rPr>
                <w:rFonts w:hint="eastAsia"/>
                <w:b/>
                <w:bCs/>
                <w:sz w:val="24"/>
              </w:rPr>
              <w:t>序号</w:t>
            </w:r>
          </w:p>
        </w:tc>
        <w:tc>
          <w:tcPr>
            <w:tcW w:w="1322" w:type="dxa"/>
            <w:vAlign w:val="center"/>
          </w:tcPr>
          <w:p w14:paraId="365AF719">
            <w:pPr>
              <w:jc w:val="center"/>
              <w:rPr>
                <w:b/>
                <w:bCs/>
                <w:sz w:val="24"/>
              </w:rPr>
            </w:pPr>
            <w:r>
              <w:rPr>
                <w:rFonts w:hint="eastAsia"/>
                <w:b/>
                <w:bCs/>
                <w:sz w:val="24"/>
              </w:rPr>
              <w:t>评分因素</w:t>
            </w:r>
          </w:p>
        </w:tc>
        <w:tc>
          <w:tcPr>
            <w:tcW w:w="6946" w:type="dxa"/>
            <w:tcBorders>
              <w:bottom w:val="single" w:color="auto" w:sz="4" w:space="0"/>
            </w:tcBorders>
            <w:vAlign w:val="center"/>
          </w:tcPr>
          <w:p w14:paraId="5AC650EC">
            <w:pPr>
              <w:spacing w:line="220" w:lineRule="atLeast"/>
              <w:jc w:val="center"/>
              <w:rPr>
                <w:b/>
                <w:bCs/>
              </w:rPr>
            </w:pPr>
            <w:r>
              <w:rPr>
                <w:rFonts w:hint="eastAsia"/>
                <w:b/>
                <w:bCs/>
              </w:rPr>
              <w:t>评分标准</w:t>
            </w:r>
          </w:p>
        </w:tc>
      </w:tr>
      <w:tr w14:paraId="4534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9019" w:type="dxa"/>
            <w:gridSpan w:val="3"/>
            <w:vAlign w:val="center"/>
          </w:tcPr>
          <w:p w14:paraId="0595218C">
            <w:pPr>
              <w:spacing w:line="220" w:lineRule="atLeast"/>
            </w:pPr>
            <w:r>
              <w:rPr>
                <w:rFonts w:hint="eastAsia"/>
                <w:highlight w:val="none"/>
              </w:rPr>
              <w:t>技术标（100分）</w:t>
            </w:r>
          </w:p>
        </w:tc>
      </w:tr>
      <w:tr w14:paraId="509A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751" w:type="dxa"/>
            <w:vAlign w:val="center"/>
          </w:tcPr>
          <w:p w14:paraId="12611F9D">
            <w:pPr>
              <w:spacing w:line="220" w:lineRule="atLeast"/>
              <w:jc w:val="center"/>
            </w:pPr>
            <w:r>
              <w:rPr>
                <w:rFonts w:hint="eastAsia"/>
              </w:rPr>
              <w:t>1</w:t>
            </w:r>
          </w:p>
        </w:tc>
        <w:tc>
          <w:tcPr>
            <w:tcW w:w="1322" w:type="dxa"/>
            <w:vAlign w:val="center"/>
          </w:tcPr>
          <w:p w14:paraId="3306823C">
            <w:pPr>
              <w:spacing w:line="220" w:lineRule="atLeast"/>
              <w:jc w:val="center"/>
            </w:pPr>
            <w:r>
              <w:t>业绩</w:t>
            </w:r>
          </w:p>
          <w:p w14:paraId="1BBEF41E">
            <w:pPr>
              <w:spacing w:line="220" w:lineRule="atLeast"/>
              <w:jc w:val="center"/>
            </w:pPr>
            <w:r>
              <w:t>（</w:t>
            </w:r>
            <w:r>
              <w:rPr>
                <w:rFonts w:hint="eastAsia"/>
              </w:rPr>
              <w:t>20分</w:t>
            </w:r>
            <w:r>
              <w:t>）</w:t>
            </w:r>
          </w:p>
        </w:tc>
        <w:tc>
          <w:tcPr>
            <w:tcW w:w="6946" w:type="dxa"/>
            <w:tcBorders>
              <w:bottom w:val="single" w:color="auto" w:sz="4" w:space="0"/>
            </w:tcBorders>
            <w:vAlign w:val="center"/>
          </w:tcPr>
          <w:p w14:paraId="15FB8195">
            <w:pPr>
              <w:spacing w:line="220" w:lineRule="atLeast"/>
              <w:rPr>
                <w:rFonts w:hint="eastAsia"/>
              </w:rPr>
            </w:pPr>
            <w:r>
              <w:rPr>
                <w:rFonts w:hint="eastAsia"/>
              </w:rPr>
              <w:t>提供自2024年以来招标代理服务类项目案例，</w:t>
            </w:r>
          </w:p>
          <w:p w14:paraId="6CA6F1A4">
            <w:pPr>
              <w:spacing w:line="220" w:lineRule="atLeast"/>
              <w:rPr>
                <w:rFonts w:hint="eastAsia"/>
              </w:rPr>
            </w:pPr>
            <w:r>
              <w:rPr>
                <w:rFonts w:hint="eastAsia"/>
              </w:rPr>
              <w:t>完全按照以下要求提供已完成的招标代理成功案例，以委托协议及招标公告为准（天津市政府采购网及其他相关政府采购平台，其中医院类项目不得少于6个），每提供一项2分，最高20分。</w:t>
            </w:r>
          </w:p>
          <w:p w14:paraId="5B91097A">
            <w:pPr>
              <w:spacing w:line="220" w:lineRule="atLeast"/>
              <w:rPr>
                <w:rFonts w:hint="eastAsia"/>
              </w:rPr>
            </w:pPr>
            <w:r>
              <w:rPr>
                <w:rFonts w:hint="eastAsia"/>
              </w:rPr>
              <w:t>1.采购代理合同复印件</w:t>
            </w:r>
          </w:p>
          <w:p w14:paraId="41BED263">
            <w:pPr>
              <w:spacing w:line="220" w:lineRule="atLeast"/>
            </w:pPr>
            <w:r>
              <w:rPr>
                <w:rFonts w:hint="eastAsia"/>
              </w:rPr>
              <w:t>2.成交公告截图</w:t>
            </w:r>
          </w:p>
        </w:tc>
      </w:tr>
      <w:tr w14:paraId="0675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751" w:type="dxa"/>
            <w:vMerge w:val="restart"/>
            <w:vAlign w:val="center"/>
          </w:tcPr>
          <w:p w14:paraId="3F8F744F">
            <w:pPr>
              <w:spacing w:line="220" w:lineRule="atLeast"/>
              <w:jc w:val="center"/>
            </w:pPr>
            <w:r>
              <w:rPr>
                <w:rFonts w:hint="eastAsia"/>
              </w:rPr>
              <w:t>2</w:t>
            </w:r>
          </w:p>
        </w:tc>
        <w:tc>
          <w:tcPr>
            <w:tcW w:w="1322" w:type="dxa"/>
            <w:vMerge w:val="restart"/>
            <w:vAlign w:val="center"/>
          </w:tcPr>
          <w:p w14:paraId="7D6DC912">
            <w:pPr>
              <w:spacing w:line="220" w:lineRule="atLeast"/>
              <w:jc w:val="center"/>
            </w:pPr>
            <w:r>
              <w:t>办公</w:t>
            </w:r>
            <w:r>
              <w:rPr>
                <w:rFonts w:hint="eastAsia"/>
              </w:rPr>
              <w:t>配套</w:t>
            </w:r>
          </w:p>
          <w:p w14:paraId="77C7B797">
            <w:pPr>
              <w:spacing w:line="220" w:lineRule="atLeast"/>
              <w:jc w:val="center"/>
            </w:pPr>
            <w:r>
              <w:t>（</w:t>
            </w:r>
            <w:r>
              <w:rPr>
                <w:rFonts w:hint="eastAsia"/>
              </w:rPr>
              <w:t>7分</w:t>
            </w:r>
            <w:r>
              <w:t>）</w:t>
            </w:r>
          </w:p>
        </w:tc>
        <w:tc>
          <w:tcPr>
            <w:tcW w:w="6946" w:type="dxa"/>
            <w:tcBorders>
              <w:bottom w:val="single" w:color="auto" w:sz="4" w:space="0"/>
            </w:tcBorders>
            <w:vAlign w:val="center"/>
          </w:tcPr>
          <w:p w14:paraId="43DB0607">
            <w:pPr>
              <w:spacing w:line="220" w:lineRule="atLeast"/>
            </w:pPr>
            <w:r>
              <w:t>需提供房产证或租赁合同（显示面积）、提供实景图等证明材料</w:t>
            </w:r>
          </w:p>
          <w:p w14:paraId="44832338">
            <w:pPr>
              <w:spacing w:line="220" w:lineRule="atLeast"/>
            </w:pPr>
            <w:r>
              <w:rPr>
                <w:rFonts w:hint="eastAsia"/>
              </w:rPr>
              <w:t>开标室数量在4间及以上得：5分；</w:t>
            </w:r>
          </w:p>
          <w:p w14:paraId="75EAEBAA">
            <w:pPr>
              <w:spacing w:line="220" w:lineRule="atLeast"/>
            </w:pPr>
            <w:r>
              <w:rPr>
                <w:rFonts w:hint="eastAsia"/>
              </w:rPr>
              <w:t>开标室数量在2间及以上得：3分；</w:t>
            </w:r>
          </w:p>
          <w:p w14:paraId="505FCE2B">
            <w:pPr>
              <w:spacing w:line="220" w:lineRule="atLeast"/>
            </w:pPr>
            <w:r>
              <w:rPr>
                <w:rFonts w:hint="eastAsia"/>
              </w:rPr>
              <w:t>其他情况不得分。</w:t>
            </w:r>
          </w:p>
        </w:tc>
      </w:tr>
      <w:tr w14:paraId="63BB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1" w:type="dxa"/>
            <w:vMerge w:val="continue"/>
            <w:tcBorders>
              <w:bottom w:val="single" w:color="auto" w:sz="4" w:space="0"/>
            </w:tcBorders>
            <w:vAlign w:val="center"/>
          </w:tcPr>
          <w:p w14:paraId="5A34D3A3">
            <w:pPr>
              <w:spacing w:line="220" w:lineRule="atLeast"/>
              <w:jc w:val="center"/>
            </w:pPr>
          </w:p>
        </w:tc>
        <w:tc>
          <w:tcPr>
            <w:tcW w:w="1322" w:type="dxa"/>
            <w:vMerge w:val="continue"/>
            <w:tcBorders>
              <w:bottom w:val="single" w:color="auto" w:sz="4" w:space="0"/>
            </w:tcBorders>
            <w:vAlign w:val="center"/>
          </w:tcPr>
          <w:p w14:paraId="37A7F519">
            <w:pPr>
              <w:spacing w:line="220" w:lineRule="atLeast"/>
              <w:jc w:val="center"/>
            </w:pPr>
          </w:p>
        </w:tc>
        <w:tc>
          <w:tcPr>
            <w:tcW w:w="6946" w:type="dxa"/>
            <w:tcBorders>
              <w:bottom w:val="single" w:color="auto" w:sz="4" w:space="0"/>
            </w:tcBorders>
            <w:vAlign w:val="center"/>
          </w:tcPr>
          <w:p w14:paraId="4172949A">
            <w:pPr>
              <w:spacing w:line="220" w:lineRule="atLeast"/>
            </w:pPr>
            <w:r>
              <w:rPr>
                <w:rFonts w:hint="eastAsia"/>
                <w:bCs/>
              </w:rPr>
              <w:t>如开标室坐落在本地区，加2分</w:t>
            </w:r>
          </w:p>
        </w:tc>
      </w:tr>
      <w:tr w14:paraId="56A5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jc w:val="center"/>
        </w:trPr>
        <w:tc>
          <w:tcPr>
            <w:tcW w:w="751" w:type="dxa"/>
            <w:tcBorders>
              <w:bottom w:val="single" w:color="auto" w:sz="4" w:space="0"/>
            </w:tcBorders>
            <w:vAlign w:val="center"/>
          </w:tcPr>
          <w:p w14:paraId="31FF44EF">
            <w:pPr>
              <w:spacing w:line="220" w:lineRule="atLeast"/>
              <w:jc w:val="center"/>
            </w:pPr>
            <w:r>
              <w:rPr>
                <w:rFonts w:hint="eastAsia"/>
              </w:rPr>
              <w:t>3</w:t>
            </w:r>
          </w:p>
        </w:tc>
        <w:tc>
          <w:tcPr>
            <w:tcW w:w="1322" w:type="dxa"/>
            <w:tcBorders>
              <w:bottom w:val="single" w:color="auto" w:sz="4" w:space="0"/>
            </w:tcBorders>
            <w:vAlign w:val="center"/>
          </w:tcPr>
          <w:p w14:paraId="29045ED1">
            <w:pPr>
              <w:spacing w:line="220" w:lineRule="atLeast"/>
              <w:jc w:val="center"/>
            </w:pPr>
            <w:r>
              <w:t>从业人员</w:t>
            </w:r>
          </w:p>
          <w:p w14:paraId="27B6312C">
            <w:pPr>
              <w:spacing w:line="220" w:lineRule="atLeast"/>
              <w:jc w:val="center"/>
            </w:pPr>
            <w:r>
              <w:t>（</w:t>
            </w:r>
            <w:r>
              <w:rPr>
                <w:rFonts w:hint="eastAsia"/>
              </w:rPr>
              <w:t>5分</w:t>
            </w:r>
            <w:r>
              <w:t>）</w:t>
            </w:r>
          </w:p>
        </w:tc>
        <w:tc>
          <w:tcPr>
            <w:tcW w:w="6946" w:type="dxa"/>
            <w:tcBorders>
              <w:bottom w:val="single" w:color="auto" w:sz="4" w:space="0"/>
            </w:tcBorders>
            <w:vAlign w:val="center"/>
          </w:tcPr>
          <w:p w14:paraId="13893622">
            <w:pPr>
              <w:spacing w:line="220" w:lineRule="atLeast"/>
            </w:pPr>
            <w:r>
              <w:t>公司现有从业人员数量足，学历层次高、年龄结构好，以出具</w:t>
            </w:r>
            <w:r>
              <w:rPr>
                <w:rFonts w:hint="eastAsia"/>
              </w:rPr>
              <w:t>社保</w:t>
            </w:r>
            <w:r>
              <w:t>人数为准。</w:t>
            </w:r>
          </w:p>
          <w:p w14:paraId="11EE8554">
            <w:pPr>
              <w:spacing w:line="220" w:lineRule="atLeast"/>
            </w:pPr>
            <w:r>
              <w:rPr>
                <w:rFonts w:hint="eastAsia"/>
              </w:rPr>
              <w:t>1、10人及以上5分</w:t>
            </w:r>
          </w:p>
          <w:p w14:paraId="067DAC3B">
            <w:pPr>
              <w:spacing w:line="220" w:lineRule="atLeast"/>
            </w:pPr>
            <w:r>
              <w:rPr>
                <w:rFonts w:hint="eastAsia"/>
              </w:rPr>
              <w:t>2、10人以下，7人及以上3分</w:t>
            </w:r>
          </w:p>
          <w:p w14:paraId="1E44F634">
            <w:pPr>
              <w:spacing w:line="220" w:lineRule="atLeast"/>
            </w:pPr>
            <w:r>
              <w:rPr>
                <w:rFonts w:hint="eastAsia"/>
              </w:rPr>
              <w:t>3、7人以下，3人以上 1分</w:t>
            </w:r>
          </w:p>
        </w:tc>
      </w:tr>
      <w:tr w14:paraId="5EA0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restart"/>
            <w:vAlign w:val="center"/>
          </w:tcPr>
          <w:p w14:paraId="35A1C133">
            <w:pPr>
              <w:spacing w:line="220" w:lineRule="atLeast"/>
              <w:jc w:val="center"/>
            </w:pPr>
            <w:r>
              <w:rPr>
                <w:rFonts w:hint="eastAsia"/>
              </w:rPr>
              <w:t>4</w:t>
            </w:r>
          </w:p>
        </w:tc>
        <w:tc>
          <w:tcPr>
            <w:tcW w:w="1322" w:type="dxa"/>
            <w:vMerge w:val="restart"/>
            <w:vAlign w:val="center"/>
          </w:tcPr>
          <w:p w14:paraId="197D88F0">
            <w:pPr>
              <w:spacing w:line="220" w:lineRule="atLeast"/>
              <w:jc w:val="center"/>
            </w:pPr>
            <w:r>
              <w:rPr>
                <w:rFonts w:hint="eastAsia"/>
              </w:rPr>
              <w:t>政府采购整体服务方案（15分）</w:t>
            </w:r>
          </w:p>
        </w:tc>
        <w:tc>
          <w:tcPr>
            <w:tcW w:w="6946" w:type="dxa"/>
            <w:tcBorders>
              <w:bottom w:val="single" w:color="auto" w:sz="4" w:space="0"/>
            </w:tcBorders>
            <w:vAlign w:val="center"/>
          </w:tcPr>
          <w:p w14:paraId="7FFB16A2">
            <w:pPr>
              <w:spacing w:line="220" w:lineRule="atLeast"/>
              <w:rPr>
                <w:bCs/>
              </w:rPr>
            </w:pPr>
            <w:r>
              <w:rPr>
                <w:rFonts w:hint="eastAsia"/>
              </w:rPr>
              <w:t>服务方案完整、编制招标文件针对性强，全盘考虑用户需求；15分</w:t>
            </w:r>
          </w:p>
        </w:tc>
      </w:tr>
      <w:tr w14:paraId="1485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4227A2A1">
            <w:pPr>
              <w:spacing w:line="220" w:lineRule="atLeast"/>
              <w:jc w:val="center"/>
            </w:pPr>
          </w:p>
        </w:tc>
        <w:tc>
          <w:tcPr>
            <w:tcW w:w="1322" w:type="dxa"/>
            <w:vMerge w:val="continue"/>
            <w:vAlign w:val="center"/>
          </w:tcPr>
          <w:p w14:paraId="0596E38B">
            <w:pPr>
              <w:spacing w:line="220" w:lineRule="atLeast"/>
              <w:jc w:val="center"/>
            </w:pPr>
          </w:p>
        </w:tc>
        <w:tc>
          <w:tcPr>
            <w:tcW w:w="6946" w:type="dxa"/>
            <w:tcBorders>
              <w:bottom w:val="single" w:color="auto" w:sz="4" w:space="0"/>
            </w:tcBorders>
            <w:vAlign w:val="center"/>
          </w:tcPr>
          <w:p w14:paraId="08A3F1F0">
            <w:pPr>
              <w:spacing w:line="220" w:lineRule="atLeast"/>
              <w:rPr>
                <w:bCs/>
              </w:rPr>
            </w:pPr>
            <w:r>
              <w:rPr>
                <w:rFonts w:hint="eastAsia"/>
                <w:bCs/>
              </w:rPr>
              <w:t>投标人服务方案考虑用户需求，基本满足招标要求；10分</w:t>
            </w:r>
          </w:p>
        </w:tc>
      </w:tr>
      <w:tr w14:paraId="1D2A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56C09A67">
            <w:pPr>
              <w:spacing w:line="220" w:lineRule="atLeast"/>
              <w:jc w:val="center"/>
            </w:pPr>
          </w:p>
        </w:tc>
        <w:tc>
          <w:tcPr>
            <w:tcW w:w="1322" w:type="dxa"/>
            <w:vMerge w:val="continue"/>
            <w:vAlign w:val="center"/>
          </w:tcPr>
          <w:p w14:paraId="35F03B2F">
            <w:pPr>
              <w:spacing w:line="220" w:lineRule="atLeast"/>
              <w:jc w:val="center"/>
            </w:pPr>
          </w:p>
        </w:tc>
        <w:tc>
          <w:tcPr>
            <w:tcW w:w="6946" w:type="dxa"/>
            <w:tcBorders>
              <w:bottom w:val="single" w:color="auto" w:sz="4" w:space="0"/>
            </w:tcBorders>
            <w:vAlign w:val="center"/>
          </w:tcPr>
          <w:p w14:paraId="5C1B44C7">
            <w:pPr>
              <w:spacing w:line="220" w:lineRule="atLeast"/>
              <w:rPr>
                <w:bCs/>
              </w:rPr>
            </w:pPr>
            <w:r>
              <w:rPr>
                <w:rFonts w:hint="eastAsia"/>
                <w:bCs/>
              </w:rPr>
              <w:t>具有服务方案，有一定可操作性，但未针对采购方实际情况；5分</w:t>
            </w:r>
          </w:p>
        </w:tc>
      </w:tr>
      <w:tr w14:paraId="06A9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tcBorders>
              <w:bottom w:val="single" w:color="auto" w:sz="4" w:space="0"/>
            </w:tcBorders>
            <w:vAlign w:val="center"/>
          </w:tcPr>
          <w:p w14:paraId="7E43A3AF">
            <w:pPr>
              <w:spacing w:line="220" w:lineRule="atLeast"/>
              <w:jc w:val="center"/>
            </w:pPr>
          </w:p>
        </w:tc>
        <w:tc>
          <w:tcPr>
            <w:tcW w:w="1322" w:type="dxa"/>
            <w:vMerge w:val="continue"/>
            <w:tcBorders>
              <w:bottom w:val="single" w:color="auto" w:sz="4" w:space="0"/>
            </w:tcBorders>
            <w:vAlign w:val="center"/>
          </w:tcPr>
          <w:p w14:paraId="03EB6637">
            <w:pPr>
              <w:spacing w:line="220" w:lineRule="atLeast"/>
              <w:jc w:val="center"/>
            </w:pPr>
          </w:p>
        </w:tc>
        <w:tc>
          <w:tcPr>
            <w:tcW w:w="6946" w:type="dxa"/>
            <w:tcBorders>
              <w:bottom w:val="single" w:color="auto" w:sz="4" w:space="0"/>
            </w:tcBorders>
            <w:vAlign w:val="center"/>
          </w:tcPr>
          <w:p w14:paraId="78BD0659">
            <w:pPr>
              <w:spacing w:line="220" w:lineRule="atLeast"/>
              <w:rPr>
                <w:bCs/>
              </w:rPr>
            </w:pPr>
            <w:r>
              <w:rPr>
                <w:rFonts w:hint="eastAsia"/>
                <w:bCs/>
              </w:rPr>
              <w:t>未提供，0分</w:t>
            </w:r>
          </w:p>
        </w:tc>
      </w:tr>
      <w:tr w14:paraId="51CD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restart"/>
            <w:vAlign w:val="center"/>
          </w:tcPr>
          <w:p w14:paraId="2D6B8ED4">
            <w:pPr>
              <w:spacing w:line="220" w:lineRule="atLeast"/>
              <w:jc w:val="center"/>
            </w:pPr>
            <w:r>
              <w:rPr>
                <w:rFonts w:hint="eastAsia"/>
              </w:rPr>
              <w:t>5</w:t>
            </w:r>
          </w:p>
        </w:tc>
        <w:tc>
          <w:tcPr>
            <w:tcW w:w="1322" w:type="dxa"/>
            <w:vMerge w:val="restart"/>
            <w:vAlign w:val="center"/>
          </w:tcPr>
          <w:p w14:paraId="12533349">
            <w:pPr>
              <w:spacing w:line="220" w:lineRule="atLeast"/>
              <w:jc w:val="center"/>
            </w:pPr>
            <w:r>
              <w:rPr>
                <w:rFonts w:hint="eastAsia"/>
              </w:rPr>
              <w:t>政府采购操作流程设计（15分）</w:t>
            </w:r>
          </w:p>
        </w:tc>
        <w:tc>
          <w:tcPr>
            <w:tcW w:w="6946" w:type="dxa"/>
            <w:vAlign w:val="center"/>
          </w:tcPr>
          <w:p w14:paraId="1CE329F3">
            <w:pPr>
              <w:spacing w:line="220" w:lineRule="atLeast"/>
            </w:pPr>
            <w:r>
              <w:rPr>
                <w:rFonts w:hint="eastAsia"/>
              </w:rPr>
              <w:t>各环节操作严谨，流程规范。项目负责人专业水平高；15分</w:t>
            </w:r>
          </w:p>
        </w:tc>
      </w:tr>
      <w:tr w14:paraId="71F8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4256C79F">
            <w:pPr>
              <w:spacing w:line="220" w:lineRule="atLeast"/>
              <w:jc w:val="center"/>
            </w:pPr>
          </w:p>
        </w:tc>
        <w:tc>
          <w:tcPr>
            <w:tcW w:w="1322" w:type="dxa"/>
            <w:vMerge w:val="continue"/>
            <w:vAlign w:val="center"/>
          </w:tcPr>
          <w:p w14:paraId="1634E7BF">
            <w:pPr>
              <w:spacing w:line="220" w:lineRule="atLeast"/>
              <w:jc w:val="center"/>
            </w:pPr>
          </w:p>
        </w:tc>
        <w:tc>
          <w:tcPr>
            <w:tcW w:w="6946" w:type="dxa"/>
            <w:vAlign w:val="center"/>
          </w:tcPr>
          <w:p w14:paraId="06AB3AB8">
            <w:pPr>
              <w:spacing w:line="220" w:lineRule="atLeast"/>
            </w:pPr>
            <w:r>
              <w:rPr>
                <w:rFonts w:hint="eastAsia"/>
              </w:rPr>
              <w:t>采购流程规范，项目负责人具有相关经验，基本满足要求：10分</w:t>
            </w:r>
          </w:p>
        </w:tc>
      </w:tr>
      <w:tr w14:paraId="0207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6049E8FC">
            <w:pPr>
              <w:spacing w:line="220" w:lineRule="atLeast"/>
              <w:jc w:val="center"/>
            </w:pPr>
          </w:p>
        </w:tc>
        <w:tc>
          <w:tcPr>
            <w:tcW w:w="1322" w:type="dxa"/>
            <w:vMerge w:val="continue"/>
            <w:vAlign w:val="center"/>
          </w:tcPr>
          <w:p w14:paraId="0E7BF07B">
            <w:pPr>
              <w:spacing w:line="220" w:lineRule="atLeast"/>
              <w:jc w:val="center"/>
            </w:pPr>
          </w:p>
        </w:tc>
        <w:tc>
          <w:tcPr>
            <w:tcW w:w="6946" w:type="dxa"/>
            <w:vAlign w:val="center"/>
          </w:tcPr>
          <w:p w14:paraId="43C5457F">
            <w:pPr>
              <w:spacing w:line="220" w:lineRule="atLeast"/>
            </w:pPr>
            <w:r>
              <w:rPr>
                <w:rFonts w:hint="eastAsia"/>
              </w:rPr>
              <w:t>基本符合采购操作流程，无缺项漏项：5分</w:t>
            </w:r>
          </w:p>
        </w:tc>
      </w:tr>
      <w:tr w14:paraId="7C2D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06856C8C">
            <w:pPr>
              <w:spacing w:line="220" w:lineRule="atLeast"/>
              <w:jc w:val="center"/>
            </w:pPr>
          </w:p>
        </w:tc>
        <w:tc>
          <w:tcPr>
            <w:tcW w:w="1322" w:type="dxa"/>
            <w:vMerge w:val="continue"/>
            <w:vAlign w:val="center"/>
          </w:tcPr>
          <w:p w14:paraId="47A1EC23">
            <w:pPr>
              <w:spacing w:line="220" w:lineRule="atLeast"/>
              <w:jc w:val="center"/>
            </w:pPr>
          </w:p>
        </w:tc>
        <w:tc>
          <w:tcPr>
            <w:tcW w:w="6946" w:type="dxa"/>
            <w:vAlign w:val="center"/>
          </w:tcPr>
          <w:p w14:paraId="29ECCACE">
            <w:pPr>
              <w:spacing w:line="220" w:lineRule="atLeast"/>
            </w:pPr>
            <w:r>
              <w:rPr>
                <w:rFonts w:hint="eastAsia"/>
                <w:bCs/>
              </w:rPr>
              <w:t>未提供，0分</w:t>
            </w:r>
          </w:p>
        </w:tc>
      </w:tr>
      <w:tr w14:paraId="7F08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restart"/>
            <w:vAlign w:val="center"/>
          </w:tcPr>
          <w:p w14:paraId="681A9F64">
            <w:pPr>
              <w:spacing w:line="220" w:lineRule="atLeast"/>
              <w:jc w:val="center"/>
            </w:pPr>
            <w:r>
              <w:rPr>
                <w:rFonts w:hint="eastAsia"/>
              </w:rPr>
              <w:t>6</w:t>
            </w:r>
          </w:p>
        </w:tc>
        <w:tc>
          <w:tcPr>
            <w:tcW w:w="1322" w:type="dxa"/>
            <w:vMerge w:val="restart"/>
            <w:vAlign w:val="center"/>
          </w:tcPr>
          <w:p w14:paraId="6061A65A">
            <w:pPr>
              <w:spacing w:line="220" w:lineRule="atLeast"/>
              <w:jc w:val="center"/>
            </w:pPr>
            <w:r>
              <w:rPr>
                <w:rFonts w:hint="eastAsia"/>
              </w:rPr>
              <w:t>代理机构审查和管理办法（10分）</w:t>
            </w:r>
          </w:p>
        </w:tc>
        <w:tc>
          <w:tcPr>
            <w:tcW w:w="6946" w:type="dxa"/>
            <w:vAlign w:val="center"/>
          </w:tcPr>
          <w:p w14:paraId="1D37C189">
            <w:pPr>
              <w:spacing w:line="220" w:lineRule="atLeast"/>
            </w:pPr>
            <w:r>
              <w:rPr>
                <w:rFonts w:hint="eastAsia"/>
              </w:rPr>
              <w:t>代理机构管理制度完善，人员岗位责任明确，对自身管理严格；10分</w:t>
            </w:r>
          </w:p>
        </w:tc>
      </w:tr>
      <w:tr w14:paraId="576B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7EA6F520">
            <w:pPr>
              <w:spacing w:line="220" w:lineRule="atLeast"/>
              <w:jc w:val="center"/>
            </w:pPr>
          </w:p>
        </w:tc>
        <w:tc>
          <w:tcPr>
            <w:tcW w:w="1322" w:type="dxa"/>
            <w:vMerge w:val="continue"/>
            <w:vAlign w:val="center"/>
          </w:tcPr>
          <w:p w14:paraId="6616B8BF">
            <w:pPr>
              <w:spacing w:line="220" w:lineRule="atLeast"/>
              <w:jc w:val="center"/>
            </w:pPr>
          </w:p>
        </w:tc>
        <w:tc>
          <w:tcPr>
            <w:tcW w:w="6946" w:type="dxa"/>
            <w:vAlign w:val="center"/>
          </w:tcPr>
          <w:p w14:paraId="10BA556D">
            <w:pPr>
              <w:spacing w:line="220" w:lineRule="atLeast"/>
            </w:pPr>
            <w:r>
              <w:rPr>
                <w:rFonts w:hint="eastAsia"/>
              </w:rPr>
              <w:t>具备基本的内部管理制度，工作行为规范；7分</w:t>
            </w:r>
          </w:p>
        </w:tc>
      </w:tr>
      <w:tr w14:paraId="734A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61C34F4A">
            <w:pPr>
              <w:spacing w:line="220" w:lineRule="atLeast"/>
              <w:jc w:val="center"/>
            </w:pPr>
          </w:p>
        </w:tc>
        <w:tc>
          <w:tcPr>
            <w:tcW w:w="1322" w:type="dxa"/>
            <w:vMerge w:val="continue"/>
            <w:vAlign w:val="center"/>
          </w:tcPr>
          <w:p w14:paraId="1CC5AD17">
            <w:pPr>
              <w:spacing w:line="220" w:lineRule="atLeast"/>
              <w:jc w:val="center"/>
            </w:pPr>
          </w:p>
        </w:tc>
        <w:tc>
          <w:tcPr>
            <w:tcW w:w="6946" w:type="dxa"/>
            <w:vAlign w:val="center"/>
          </w:tcPr>
          <w:p w14:paraId="668E11B6">
            <w:pPr>
              <w:spacing w:line="220" w:lineRule="atLeast"/>
            </w:pPr>
            <w:r>
              <w:rPr>
                <w:rFonts w:hint="eastAsia"/>
              </w:rPr>
              <w:t>内部管理制度一般，人员分工不明确；3分</w:t>
            </w:r>
          </w:p>
        </w:tc>
      </w:tr>
      <w:tr w14:paraId="12AB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07B01F90">
            <w:pPr>
              <w:spacing w:line="220" w:lineRule="atLeast"/>
              <w:jc w:val="center"/>
            </w:pPr>
          </w:p>
        </w:tc>
        <w:tc>
          <w:tcPr>
            <w:tcW w:w="1322" w:type="dxa"/>
            <w:vMerge w:val="continue"/>
            <w:vAlign w:val="center"/>
          </w:tcPr>
          <w:p w14:paraId="0AB790F0">
            <w:pPr>
              <w:spacing w:line="220" w:lineRule="atLeast"/>
              <w:jc w:val="center"/>
            </w:pPr>
          </w:p>
        </w:tc>
        <w:tc>
          <w:tcPr>
            <w:tcW w:w="6946" w:type="dxa"/>
            <w:vAlign w:val="center"/>
          </w:tcPr>
          <w:p w14:paraId="3F3FEE73">
            <w:pPr>
              <w:spacing w:line="220" w:lineRule="atLeast"/>
            </w:pPr>
            <w:r>
              <w:rPr>
                <w:rFonts w:hint="eastAsia"/>
                <w:bCs/>
              </w:rPr>
              <w:t>未提供，0分</w:t>
            </w:r>
          </w:p>
        </w:tc>
      </w:tr>
      <w:tr w14:paraId="581B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restart"/>
            <w:vAlign w:val="center"/>
          </w:tcPr>
          <w:p w14:paraId="5B20722C">
            <w:pPr>
              <w:spacing w:line="220" w:lineRule="atLeast"/>
              <w:jc w:val="center"/>
            </w:pPr>
            <w:r>
              <w:rPr>
                <w:rFonts w:hint="eastAsia"/>
              </w:rPr>
              <w:t>7</w:t>
            </w:r>
          </w:p>
        </w:tc>
        <w:tc>
          <w:tcPr>
            <w:tcW w:w="1322" w:type="dxa"/>
            <w:vMerge w:val="restart"/>
            <w:vAlign w:val="center"/>
          </w:tcPr>
          <w:p w14:paraId="06C8DFE0">
            <w:pPr>
              <w:spacing w:line="220" w:lineRule="atLeast"/>
              <w:jc w:val="center"/>
            </w:pPr>
            <w:r>
              <w:t>服务响应时间（</w:t>
            </w:r>
            <w:r>
              <w:rPr>
                <w:rFonts w:hint="eastAsia"/>
              </w:rPr>
              <w:t>10分</w:t>
            </w:r>
            <w:r>
              <w:t>）</w:t>
            </w:r>
          </w:p>
        </w:tc>
        <w:tc>
          <w:tcPr>
            <w:tcW w:w="6946" w:type="dxa"/>
            <w:vAlign w:val="center"/>
          </w:tcPr>
          <w:p w14:paraId="63413857">
            <w:pPr>
              <w:spacing w:line="220" w:lineRule="atLeast"/>
            </w:pPr>
            <w:r>
              <w:rPr>
                <w:rFonts w:hint="eastAsia"/>
                <w:bCs/>
              </w:rPr>
              <w:t>响应速度快，效率高，并作出承诺，全部优于招标文件要求；10分</w:t>
            </w:r>
          </w:p>
        </w:tc>
      </w:tr>
      <w:tr w14:paraId="570B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28D849AC">
            <w:pPr>
              <w:spacing w:line="220" w:lineRule="atLeast"/>
              <w:jc w:val="center"/>
            </w:pPr>
          </w:p>
        </w:tc>
        <w:tc>
          <w:tcPr>
            <w:tcW w:w="1322" w:type="dxa"/>
            <w:vMerge w:val="continue"/>
            <w:vAlign w:val="center"/>
          </w:tcPr>
          <w:p w14:paraId="0C8F18E4">
            <w:pPr>
              <w:spacing w:line="220" w:lineRule="atLeast"/>
              <w:jc w:val="center"/>
            </w:pPr>
          </w:p>
        </w:tc>
        <w:tc>
          <w:tcPr>
            <w:tcW w:w="6946" w:type="dxa"/>
            <w:vAlign w:val="center"/>
          </w:tcPr>
          <w:p w14:paraId="68BA884A">
            <w:pPr>
              <w:spacing w:line="220" w:lineRule="atLeast"/>
              <w:rPr>
                <w:bCs/>
              </w:rPr>
            </w:pPr>
            <w:r>
              <w:rPr>
                <w:rFonts w:hint="eastAsia"/>
                <w:bCs/>
              </w:rPr>
              <w:t>响应速度及效率等，部分优于招标文件的要求，6分；</w:t>
            </w:r>
          </w:p>
        </w:tc>
      </w:tr>
      <w:tr w14:paraId="6CCE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6E0ECC8F">
            <w:pPr>
              <w:spacing w:line="220" w:lineRule="atLeast"/>
              <w:jc w:val="center"/>
            </w:pPr>
          </w:p>
        </w:tc>
        <w:tc>
          <w:tcPr>
            <w:tcW w:w="1322" w:type="dxa"/>
            <w:vMerge w:val="continue"/>
            <w:vAlign w:val="center"/>
          </w:tcPr>
          <w:p w14:paraId="48CA8535">
            <w:pPr>
              <w:spacing w:line="220" w:lineRule="atLeast"/>
              <w:jc w:val="center"/>
            </w:pPr>
          </w:p>
        </w:tc>
        <w:tc>
          <w:tcPr>
            <w:tcW w:w="6946" w:type="dxa"/>
            <w:vAlign w:val="center"/>
          </w:tcPr>
          <w:p w14:paraId="1C651474">
            <w:pPr>
              <w:spacing w:line="220" w:lineRule="atLeast"/>
              <w:rPr>
                <w:bCs/>
              </w:rPr>
            </w:pPr>
            <w:r>
              <w:rPr>
                <w:rFonts w:hint="eastAsia"/>
                <w:bCs/>
              </w:rPr>
              <w:t>响应速度及效率等，满足招标文件的要求，2分</w:t>
            </w:r>
          </w:p>
        </w:tc>
      </w:tr>
      <w:tr w14:paraId="2D70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44CF22DF">
            <w:pPr>
              <w:spacing w:line="220" w:lineRule="atLeast"/>
              <w:jc w:val="center"/>
            </w:pPr>
          </w:p>
        </w:tc>
        <w:tc>
          <w:tcPr>
            <w:tcW w:w="1322" w:type="dxa"/>
            <w:vMerge w:val="continue"/>
            <w:vAlign w:val="center"/>
          </w:tcPr>
          <w:p w14:paraId="59799376">
            <w:pPr>
              <w:spacing w:line="220" w:lineRule="atLeast"/>
              <w:jc w:val="center"/>
            </w:pPr>
          </w:p>
        </w:tc>
        <w:tc>
          <w:tcPr>
            <w:tcW w:w="6946" w:type="dxa"/>
            <w:vAlign w:val="center"/>
          </w:tcPr>
          <w:p w14:paraId="281AF687">
            <w:pPr>
              <w:spacing w:line="220" w:lineRule="atLeast"/>
              <w:rPr>
                <w:bCs/>
              </w:rPr>
            </w:pPr>
            <w:r>
              <w:rPr>
                <w:rFonts w:hint="eastAsia"/>
                <w:bCs/>
              </w:rPr>
              <w:t>未提供，或低于招标文件要求的，0分</w:t>
            </w:r>
          </w:p>
        </w:tc>
      </w:tr>
      <w:tr w14:paraId="7EA0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restart"/>
            <w:vAlign w:val="center"/>
          </w:tcPr>
          <w:p w14:paraId="4A06070A">
            <w:pPr>
              <w:spacing w:line="220" w:lineRule="atLeast"/>
              <w:jc w:val="center"/>
            </w:pPr>
            <w:r>
              <w:rPr>
                <w:rFonts w:hint="eastAsia"/>
              </w:rPr>
              <w:t>8</w:t>
            </w:r>
          </w:p>
        </w:tc>
        <w:tc>
          <w:tcPr>
            <w:tcW w:w="1322" w:type="dxa"/>
            <w:vMerge w:val="restart"/>
            <w:vAlign w:val="center"/>
          </w:tcPr>
          <w:p w14:paraId="6448D496">
            <w:pPr>
              <w:spacing w:line="220" w:lineRule="atLeast"/>
              <w:jc w:val="center"/>
            </w:pPr>
            <w:r>
              <w:rPr>
                <w:rFonts w:hint="eastAsia"/>
              </w:rPr>
              <w:t>特殊情况（废标、质疑投诉等）处理方案</w:t>
            </w:r>
          </w:p>
          <w:p w14:paraId="5910630B">
            <w:pPr>
              <w:spacing w:line="220" w:lineRule="atLeast"/>
              <w:jc w:val="center"/>
            </w:pPr>
            <w:r>
              <w:t>（</w:t>
            </w:r>
            <w:r>
              <w:rPr>
                <w:rFonts w:hint="eastAsia"/>
              </w:rPr>
              <w:t>15分</w:t>
            </w:r>
            <w:r>
              <w:t>）</w:t>
            </w:r>
          </w:p>
        </w:tc>
        <w:tc>
          <w:tcPr>
            <w:tcW w:w="6946" w:type="dxa"/>
            <w:vAlign w:val="center"/>
          </w:tcPr>
          <w:p w14:paraId="64B4940E">
            <w:pPr>
              <w:spacing w:line="220" w:lineRule="atLeast"/>
            </w:pPr>
            <w:r>
              <w:rPr>
                <w:rFonts w:hint="eastAsia"/>
              </w:rPr>
              <w:t>针对突发情况预案详细完备，处理及时；15分</w:t>
            </w:r>
          </w:p>
        </w:tc>
      </w:tr>
      <w:tr w14:paraId="753A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7A312A41">
            <w:pPr>
              <w:spacing w:line="220" w:lineRule="atLeast"/>
              <w:jc w:val="center"/>
            </w:pPr>
          </w:p>
        </w:tc>
        <w:tc>
          <w:tcPr>
            <w:tcW w:w="1322" w:type="dxa"/>
            <w:vMerge w:val="continue"/>
            <w:vAlign w:val="center"/>
          </w:tcPr>
          <w:p w14:paraId="4B2EECEF">
            <w:pPr>
              <w:spacing w:line="220" w:lineRule="atLeast"/>
              <w:jc w:val="center"/>
            </w:pPr>
          </w:p>
        </w:tc>
        <w:tc>
          <w:tcPr>
            <w:tcW w:w="6946" w:type="dxa"/>
            <w:vAlign w:val="center"/>
          </w:tcPr>
          <w:p w14:paraId="62446743">
            <w:pPr>
              <w:spacing w:line="220" w:lineRule="atLeast"/>
            </w:pPr>
            <w:r>
              <w:rPr>
                <w:rFonts w:hint="eastAsia"/>
              </w:rPr>
              <w:t>应急预案针对性基本满足要求的，10分</w:t>
            </w:r>
          </w:p>
        </w:tc>
      </w:tr>
      <w:tr w14:paraId="3518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5A5DF979">
            <w:pPr>
              <w:spacing w:line="220" w:lineRule="atLeast"/>
              <w:jc w:val="center"/>
            </w:pPr>
          </w:p>
        </w:tc>
        <w:tc>
          <w:tcPr>
            <w:tcW w:w="1322" w:type="dxa"/>
            <w:vMerge w:val="continue"/>
            <w:vAlign w:val="center"/>
          </w:tcPr>
          <w:p w14:paraId="62388E9E">
            <w:pPr>
              <w:spacing w:line="220" w:lineRule="atLeast"/>
              <w:jc w:val="center"/>
            </w:pPr>
          </w:p>
        </w:tc>
        <w:tc>
          <w:tcPr>
            <w:tcW w:w="6946" w:type="dxa"/>
            <w:vAlign w:val="center"/>
          </w:tcPr>
          <w:p w14:paraId="2EC42050">
            <w:pPr>
              <w:spacing w:line="220" w:lineRule="atLeast"/>
            </w:pPr>
            <w:r>
              <w:rPr>
                <w:rFonts w:hint="eastAsia"/>
              </w:rPr>
              <w:t>具备应急预案的，5分</w:t>
            </w:r>
          </w:p>
        </w:tc>
      </w:tr>
      <w:tr w14:paraId="233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1" w:type="dxa"/>
            <w:vMerge w:val="continue"/>
            <w:vAlign w:val="center"/>
          </w:tcPr>
          <w:p w14:paraId="022F804A">
            <w:pPr>
              <w:spacing w:line="220" w:lineRule="atLeast"/>
              <w:jc w:val="center"/>
            </w:pPr>
          </w:p>
        </w:tc>
        <w:tc>
          <w:tcPr>
            <w:tcW w:w="1322" w:type="dxa"/>
            <w:vMerge w:val="continue"/>
            <w:vAlign w:val="center"/>
          </w:tcPr>
          <w:p w14:paraId="73594E1A">
            <w:pPr>
              <w:spacing w:line="220" w:lineRule="atLeast"/>
              <w:jc w:val="center"/>
            </w:pPr>
          </w:p>
        </w:tc>
        <w:tc>
          <w:tcPr>
            <w:tcW w:w="6946" w:type="dxa"/>
            <w:vAlign w:val="center"/>
          </w:tcPr>
          <w:p w14:paraId="441636A1">
            <w:pPr>
              <w:spacing w:line="220" w:lineRule="atLeast"/>
            </w:pPr>
            <w:r>
              <w:rPr>
                <w:rFonts w:hint="eastAsia"/>
                <w:bCs/>
              </w:rPr>
              <w:t>未提供，0分</w:t>
            </w:r>
          </w:p>
        </w:tc>
      </w:tr>
      <w:tr w14:paraId="0C4D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1" w:type="dxa"/>
            <w:vMerge w:val="restart"/>
            <w:vAlign w:val="center"/>
          </w:tcPr>
          <w:p w14:paraId="1B3491B5">
            <w:pPr>
              <w:spacing w:line="220" w:lineRule="atLeast"/>
              <w:jc w:val="center"/>
            </w:pPr>
            <w:r>
              <w:rPr>
                <w:rFonts w:hint="eastAsia"/>
              </w:rPr>
              <w:t>9</w:t>
            </w:r>
          </w:p>
        </w:tc>
        <w:tc>
          <w:tcPr>
            <w:tcW w:w="1322" w:type="dxa"/>
            <w:vMerge w:val="restart"/>
            <w:vAlign w:val="center"/>
          </w:tcPr>
          <w:p w14:paraId="4AC67E95">
            <w:pPr>
              <w:spacing w:line="220" w:lineRule="atLeast"/>
              <w:jc w:val="center"/>
            </w:pPr>
            <w:r>
              <w:rPr>
                <w:rFonts w:hint="eastAsia"/>
              </w:rPr>
              <w:t>增值服务：</w:t>
            </w:r>
          </w:p>
          <w:p w14:paraId="3BF2EBF4">
            <w:pPr>
              <w:spacing w:line="220" w:lineRule="atLeast"/>
              <w:jc w:val="center"/>
            </w:pPr>
            <w:r>
              <w:rPr>
                <w:rFonts w:hint="eastAsia"/>
                <w:bCs/>
              </w:rPr>
              <w:t>投标单位根据自身人员专业、企业经营范围、企业业绩提供其他技术支持（3分）</w:t>
            </w:r>
          </w:p>
        </w:tc>
        <w:tc>
          <w:tcPr>
            <w:tcW w:w="6946" w:type="dxa"/>
            <w:vAlign w:val="center"/>
          </w:tcPr>
          <w:p w14:paraId="7152B09A">
            <w:pPr>
              <w:spacing w:line="220" w:lineRule="atLeast"/>
              <w:rPr>
                <w:bCs/>
              </w:rPr>
            </w:pPr>
            <w:r>
              <w:rPr>
                <w:rFonts w:hint="eastAsia"/>
                <w:bCs/>
              </w:rPr>
              <w:t>与医院潜在需求匹配度高 3分</w:t>
            </w:r>
          </w:p>
        </w:tc>
      </w:tr>
      <w:tr w14:paraId="618A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1" w:type="dxa"/>
            <w:vMerge w:val="continue"/>
            <w:vAlign w:val="center"/>
          </w:tcPr>
          <w:p w14:paraId="250839E6">
            <w:pPr>
              <w:spacing w:line="220" w:lineRule="atLeast"/>
              <w:jc w:val="center"/>
            </w:pPr>
          </w:p>
        </w:tc>
        <w:tc>
          <w:tcPr>
            <w:tcW w:w="1322" w:type="dxa"/>
            <w:vMerge w:val="continue"/>
            <w:vAlign w:val="center"/>
          </w:tcPr>
          <w:p w14:paraId="47A1FF6D">
            <w:pPr>
              <w:spacing w:line="220" w:lineRule="atLeast"/>
              <w:jc w:val="center"/>
            </w:pPr>
          </w:p>
        </w:tc>
        <w:tc>
          <w:tcPr>
            <w:tcW w:w="6946" w:type="dxa"/>
            <w:vAlign w:val="center"/>
          </w:tcPr>
          <w:p w14:paraId="2CD0CE64">
            <w:pPr>
              <w:spacing w:line="220" w:lineRule="atLeast"/>
              <w:rPr>
                <w:bCs/>
              </w:rPr>
            </w:pPr>
            <w:r>
              <w:rPr>
                <w:rFonts w:hint="eastAsia"/>
                <w:bCs/>
              </w:rPr>
              <w:t>与医院潜在需求匹配度一般 2分</w:t>
            </w:r>
          </w:p>
        </w:tc>
      </w:tr>
      <w:tr w14:paraId="67C6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1" w:type="dxa"/>
            <w:vMerge w:val="continue"/>
            <w:vAlign w:val="center"/>
          </w:tcPr>
          <w:p w14:paraId="1FDC20B8">
            <w:pPr>
              <w:spacing w:line="220" w:lineRule="atLeast"/>
              <w:jc w:val="center"/>
            </w:pPr>
          </w:p>
        </w:tc>
        <w:tc>
          <w:tcPr>
            <w:tcW w:w="1322" w:type="dxa"/>
            <w:vMerge w:val="continue"/>
            <w:vAlign w:val="center"/>
          </w:tcPr>
          <w:p w14:paraId="5ADFECD6">
            <w:pPr>
              <w:spacing w:line="220" w:lineRule="atLeast"/>
              <w:jc w:val="center"/>
            </w:pPr>
          </w:p>
        </w:tc>
        <w:tc>
          <w:tcPr>
            <w:tcW w:w="6946" w:type="dxa"/>
            <w:vAlign w:val="center"/>
          </w:tcPr>
          <w:p w14:paraId="5B8DBE35">
            <w:pPr>
              <w:spacing w:line="220" w:lineRule="atLeast"/>
              <w:rPr>
                <w:bCs/>
              </w:rPr>
            </w:pPr>
            <w:r>
              <w:rPr>
                <w:rFonts w:hint="eastAsia"/>
                <w:bCs/>
              </w:rPr>
              <w:t>与医院潜在需求匹配度低 1分</w:t>
            </w:r>
          </w:p>
        </w:tc>
      </w:tr>
      <w:tr w14:paraId="4B7A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1" w:type="dxa"/>
            <w:vMerge w:val="continue"/>
            <w:vAlign w:val="center"/>
          </w:tcPr>
          <w:p w14:paraId="55020CD7">
            <w:pPr>
              <w:spacing w:line="220" w:lineRule="atLeast"/>
              <w:jc w:val="center"/>
            </w:pPr>
          </w:p>
        </w:tc>
        <w:tc>
          <w:tcPr>
            <w:tcW w:w="1322" w:type="dxa"/>
            <w:vMerge w:val="continue"/>
            <w:vAlign w:val="center"/>
          </w:tcPr>
          <w:p w14:paraId="4AB386BF">
            <w:pPr>
              <w:spacing w:line="220" w:lineRule="atLeast"/>
              <w:jc w:val="center"/>
            </w:pPr>
          </w:p>
        </w:tc>
        <w:tc>
          <w:tcPr>
            <w:tcW w:w="6946" w:type="dxa"/>
            <w:vAlign w:val="center"/>
          </w:tcPr>
          <w:p w14:paraId="644523C7">
            <w:pPr>
              <w:spacing w:line="220" w:lineRule="atLeast"/>
              <w:rPr>
                <w:bCs/>
              </w:rPr>
            </w:pPr>
            <w:r>
              <w:rPr>
                <w:rFonts w:hint="eastAsia"/>
                <w:bCs/>
              </w:rPr>
              <w:t>与医院潜在需求不匹配 0分</w:t>
            </w:r>
          </w:p>
        </w:tc>
      </w:tr>
    </w:tbl>
    <w:p w14:paraId="33B52472">
      <w:pPr>
        <w:spacing w:line="360" w:lineRule="auto"/>
        <w:rPr>
          <w:b/>
          <w:bCs/>
          <w:sz w:val="24"/>
          <w:szCs w:val="32"/>
          <w:highlight w:val="none"/>
        </w:rPr>
      </w:pPr>
      <w:r>
        <w:rPr>
          <w:rFonts w:hint="eastAsia"/>
          <w:b/>
          <w:bCs/>
          <w:sz w:val="24"/>
          <w:szCs w:val="32"/>
          <w:highlight w:val="none"/>
        </w:rPr>
        <w:t>注：</w:t>
      </w:r>
    </w:p>
    <w:p w14:paraId="4743E668">
      <w:pPr>
        <w:spacing w:line="360" w:lineRule="auto"/>
        <w:rPr>
          <w:highlight w:val="none"/>
        </w:rPr>
      </w:pPr>
      <w:bookmarkStart w:id="0" w:name="_Hlk211950844"/>
      <w:r>
        <w:rPr>
          <w:rFonts w:hint="eastAsia"/>
          <w:highlight w:val="none"/>
        </w:rPr>
        <w:t>1.投标折扣率：根据</w:t>
      </w:r>
      <w:r>
        <w:rPr>
          <w:highlight w:val="none"/>
        </w:rPr>
        <w:t>计价格[2002]1980号</w:t>
      </w:r>
      <w:r>
        <w:rPr>
          <w:rFonts w:hint="eastAsia"/>
          <w:highlight w:val="none"/>
        </w:rPr>
        <w:t>、</w:t>
      </w:r>
      <w:r>
        <w:rPr>
          <w:highlight w:val="none"/>
        </w:rPr>
        <w:t>发改价格[2011]534号</w:t>
      </w:r>
      <w:r>
        <w:rPr>
          <w:rFonts w:hint="eastAsia"/>
          <w:highlight w:val="none"/>
        </w:rPr>
        <w:t>文件，各投标单位遵循市场行情结合自身情况自主报价（折扣率，最多保留两位小数）；</w:t>
      </w:r>
    </w:p>
    <w:p w14:paraId="14FA2EF4">
      <w:pPr>
        <w:spacing w:line="360" w:lineRule="auto"/>
        <w:rPr>
          <w:highlight w:val="none"/>
        </w:rPr>
      </w:pPr>
      <w:r>
        <w:rPr>
          <w:rFonts w:hint="eastAsia"/>
          <w:highlight w:val="none"/>
        </w:rPr>
        <w:t>2.成交折扣率：</w:t>
      </w:r>
      <w:bookmarkEnd w:id="0"/>
      <w:bookmarkStart w:id="1" w:name="_Hlk211950729"/>
      <w:r>
        <w:rPr>
          <w:rFonts w:hint="eastAsia"/>
          <w:highlight w:val="none"/>
        </w:rPr>
        <w:t>按照最终入围的5家投标单位的折扣率平均值计算成交折扣率，入围单位统一执行。</w:t>
      </w:r>
    </w:p>
    <w:bookmarkEnd w:id="1"/>
    <w:p w14:paraId="5CE7F458"/>
    <w:p w14:paraId="29C0C790">
      <w:pPr>
        <w:adjustRightInd w:val="0"/>
        <w:snapToGrid w:val="0"/>
        <w:spacing w:line="360" w:lineRule="auto"/>
        <w:ind w:firstLine="482"/>
        <w:jc w:val="center"/>
        <w:rPr>
          <w:rFonts w:hint="eastAsia" w:ascii="宋体" w:hAnsi="宋体"/>
          <w:b/>
          <w:sz w:val="24"/>
        </w:rPr>
      </w:pPr>
      <w:bookmarkStart w:id="2" w:name="_GoBack"/>
      <w:bookmarkEnd w:id="2"/>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DF38">
    <w:pPr>
      <w:pStyle w:val="3"/>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85B941">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24A8F"/>
    <w:rsid w:val="000931F2"/>
    <w:rsid w:val="00282AB0"/>
    <w:rsid w:val="0034697B"/>
    <w:rsid w:val="004021DE"/>
    <w:rsid w:val="0042330B"/>
    <w:rsid w:val="00436346"/>
    <w:rsid w:val="0048309B"/>
    <w:rsid w:val="004B4010"/>
    <w:rsid w:val="00524A8F"/>
    <w:rsid w:val="005361EC"/>
    <w:rsid w:val="00554877"/>
    <w:rsid w:val="00571B9D"/>
    <w:rsid w:val="005C501B"/>
    <w:rsid w:val="005F0381"/>
    <w:rsid w:val="006729D4"/>
    <w:rsid w:val="006C54FB"/>
    <w:rsid w:val="00717F72"/>
    <w:rsid w:val="00851290"/>
    <w:rsid w:val="00870D70"/>
    <w:rsid w:val="008B6474"/>
    <w:rsid w:val="008C4AE1"/>
    <w:rsid w:val="008D0617"/>
    <w:rsid w:val="00906285"/>
    <w:rsid w:val="00974D1B"/>
    <w:rsid w:val="009844E1"/>
    <w:rsid w:val="0099208C"/>
    <w:rsid w:val="009D0B0C"/>
    <w:rsid w:val="00A309A1"/>
    <w:rsid w:val="00A54221"/>
    <w:rsid w:val="00A650C5"/>
    <w:rsid w:val="00AD228B"/>
    <w:rsid w:val="00B20B19"/>
    <w:rsid w:val="00BD766D"/>
    <w:rsid w:val="00BE2372"/>
    <w:rsid w:val="00C437EA"/>
    <w:rsid w:val="00C77212"/>
    <w:rsid w:val="00D22C55"/>
    <w:rsid w:val="00E064B1"/>
    <w:rsid w:val="00E74C35"/>
    <w:rsid w:val="00EC7D7D"/>
    <w:rsid w:val="00F570A0"/>
    <w:rsid w:val="00F57206"/>
    <w:rsid w:val="00FA7A5B"/>
    <w:rsid w:val="00FB1E5A"/>
    <w:rsid w:val="00FB26F5"/>
    <w:rsid w:val="04A32407"/>
    <w:rsid w:val="06312B5A"/>
    <w:rsid w:val="0B705B32"/>
    <w:rsid w:val="10CE6B57"/>
    <w:rsid w:val="29357CA8"/>
    <w:rsid w:val="421113B6"/>
    <w:rsid w:val="47455BC6"/>
    <w:rsid w:val="58185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unhideWhenUsed/>
    <w:qFormat/>
    <w:uiPriority w:val="99"/>
    <w:pPr>
      <w:spacing w:after="120"/>
    </w:pPr>
    <w:rPr>
      <w:rFonts w:asciiTheme="minorHAnsi" w:hAnsiTheme="minorHAnsi" w:eastAsiaTheme="minorEastAsia" w:cstheme="minorBidi"/>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basedOn w:val="1"/>
    <w:next w:val="1"/>
    <w:link w:val="12"/>
    <w:qFormat/>
    <w:uiPriority w:val="11"/>
    <w:pPr>
      <w:spacing w:before="240" w:after="60" w:line="312" w:lineRule="auto"/>
      <w:jc w:val="center"/>
      <w:outlineLvl w:val="1"/>
    </w:pPr>
    <w:rPr>
      <w:rFonts w:asciiTheme="majorHAnsi" w:hAnsiTheme="majorHAnsi" w:cstheme="majorBidi"/>
      <w:b/>
      <w:bCs/>
      <w:kern w:val="28"/>
      <w:sz w:val="32"/>
      <w:szCs w:val="32"/>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 字符"/>
    <w:basedOn w:val="7"/>
    <w:link w:val="2"/>
    <w:qFormat/>
    <w:uiPriority w:val="99"/>
    <w:rPr>
      <w:szCs w:val="24"/>
    </w:rPr>
  </w:style>
  <w:style w:type="paragraph" w:customStyle="1" w:styleId="11">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2">
    <w:name w:val="副标题 字符"/>
    <w:basedOn w:val="7"/>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2533</Words>
  <Characters>2625</Characters>
  <Lines>113</Lines>
  <Paragraphs>111</Paragraphs>
  <TotalTime>6</TotalTime>
  <ScaleCrop>false</ScaleCrop>
  <LinksUpToDate>false</LinksUpToDate>
  <CharactersWithSpaces>2630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2024-01-04T09:15:00Z</dcterms:created>
  <dc:creator>fuyanhong1234@outlook.com</dc:creator>
  <cp:lastModifiedBy>悦</cp:lastModifiedBy>
  <cp:lastPrinted>2025-10-23T00:31:00Z</cp:lastPrinted>
  <dcterms:modified xsi:type="dcterms:W3CDTF">2025-10-24T01:02:11Z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eyJoZGlkIjoiZjgwNzk1NDBhMTEzMWU3YTc1MzVjM2RkMzQ4ZTRiOTgiLCJ1c2VySWQiOiIxMzk2MzI3OTQ3In0=</vt:lpwstr>
  </property>
  <property fmtid="{D5CDD505-2E9C-101B-9397-08002B2CF9AE}" pid="3" name="KSOProductBuildVer">
    <vt:lpwstr>2052-12.1.0.23125</vt:lpwstr>
  </property>
  <property fmtid="{D5CDD505-2E9C-101B-9397-08002B2CF9AE}" pid="4" name="ICV">
    <vt:lpwstr>AEA281752C4C4A2BB860FD2EB9E7F805_12</vt:lpwstr>
  </property>
</Properties>
</file>